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0E2DC" w14:textId="6FDD9018" w:rsidR="00EC7895" w:rsidRPr="00A27DE0" w:rsidRDefault="006230B1" w:rsidP="00EC2FF9">
      <w:pPr>
        <w:ind w:firstLine="0"/>
        <w:jc w:val="center"/>
        <w:rPr>
          <w:b/>
        </w:rPr>
      </w:pPr>
      <w:r w:rsidRPr="00A27DE0">
        <w:rPr>
          <w:b/>
        </w:rPr>
        <w:t>ПОЯСНИТЕЛЬНАЯ ЗАПИСКА</w:t>
      </w:r>
    </w:p>
    <w:p w14:paraId="366BB4B1" w14:textId="77777777" w:rsidR="00A27DE0" w:rsidRDefault="006230B1" w:rsidP="00EC2FF9">
      <w:pPr>
        <w:spacing w:line="276" w:lineRule="auto"/>
        <w:ind w:firstLine="0"/>
        <w:jc w:val="center"/>
        <w:rPr>
          <w:b/>
        </w:rPr>
      </w:pPr>
      <w:r w:rsidRPr="00A27DE0">
        <w:rPr>
          <w:b/>
        </w:rPr>
        <w:t>к проекту федерального закона «</w:t>
      </w:r>
      <w:r w:rsidR="00B3237E" w:rsidRPr="00B3237E">
        <w:rPr>
          <w:b/>
        </w:rPr>
        <w:t>О внесении изменений в отдельные законодательные акты</w:t>
      </w:r>
      <w:r w:rsidR="00B3237E">
        <w:rPr>
          <w:b/>
        </w:rPr>
        <w:t xml:space="preserve"> </w:t>
      </w:r>
      <w:r w:rsidR="00B3237E" w:rsidRPr="00B3237E">
        <w:rPr>
          <w:b/>
        </w:rPr>
        <w:t>Российской Федерации</w:t>
      </w:r>
      <w:r w:rsidRPr="00A27DE0">
        <w:rPr>
          <w:b/>
        </w:rPr>
        <w:t xml:space="preserve">» </w:t>
      </w:r>
    </w:p>
    <w:p w14:paraId="5CFFA891" w14:textId="77777777" w:rsidR="00A27DE0" w:rsidRDefault="00A27DE0" w:rsidP="00EC2FF9">
      <w:pPr>
        <w:ind w:firstLine="0"/>
        <w:jc w:val="center"/>
        <w:rPr>
          <w:b/>
        </w:rPr>
      </w:pPr>
    </w:p>
    <w:p w14:paraId="56F29A57" w14:textId="77777777" w:rsidR="00982BB1" w:rsidRPr="00EC2FF9" w:rsidRDefault="006230B1" w:rsidP="00EC2FF9">
      <w:pPr>
        <w:spacing w:before="240" w:line="276" w:lineRule="auto"/>
        <w:jc w:val="both"/>
        <w:rPr>
          <w:rFonts w:cs="Times New Roman"/>
        </w:rPr>
      </w:pPr>
      <w:proofErr w:type="gramStart"/>
      <w:r w:rsidRPr="00EC2FF9">
        <w:rPr>
          <w:rFonts w:cs="Times New Roman"/>
        </w:rPr>
        <w:t xml:space="preserve">Проект федерального закона «О внесении изменений в отдельные законодательные акты Российской Федерации» </w:t>
      </w:r>
      <w:r w:rsidR="00802228" w:rsidRPr="00EC2FF9">
        <w:rPr>
          <w:rFonts w:cs="Times New Roman"/>
        </w:rPr>
        <w:t xml:space="preserve">(далее – законопроект) </w:t>
      </w:r>
      <w:r w:rsidRPr="00EC2FF9">
        <w:rPr>
          <w:rFonts w:cs="Times New Roman"/>
        </w:rPr>
        <w:t xml:space="preserve">разработан </w:t>
      </w:r>
      <w:r w:rsidR="00361849" w:rsidRPr="00EC2FF9">
        <w:rPr>
          <w:rFonts w:cs="Times New Roman"/>
        </w:rPr>
        <w:t>в целях обеспечения</w:t>
      </w:r>
      <w:bookmarkStart w:id="0" w:name="_GoBack"/>
      <w:bookmarkEnd w:id="0"/>
      <w:r w:rsidR="00361849" w:rsidRPr="00EC2FF9">
        <w:rPr>
          <w:rFonts w:cs="Times New Roman"/>
        </w:rPr>
        <w:t xml:space="preserve"> правовой определенности регулирования деятельности поднадзорных Банку России финансовых организаций</w:t>
      </w:r>
      <w:r w:rsidR="001D030B" w:rsidRPr="00EC2FF9">
        <w:rPr>
          <w:rFonts w:cs="Times New Roman"/>
        </w:rPr>
        <w:t xml:space="preserve"> </w:t>
      </w:r>
      <w:r w:rsidR="00FF3D22" w:rsidRPr="00EC2FF9">
        <w:rPr>
          <w:rFonts w:cs="Times New Roman"/>
        </w:rPr>
        <w:t>и предусматривает</w:t>
      </w:r>
      <w:r w:rsidR="00A56232" w:rsidRPr="00EC2FF9">
        <w:rPr>
          <w:rFonts w:cs="Times New Roman"/>
        </w:rPr>
        <w:t xml:space="preserve"> наделение Банка России правом утверждать перечень стран и территорий для целей оценки владельцев финансовых </w:t>
      </w:r>
      <w:r w:rsidR="00FF3D22" w:rsidRPr="00EC2FF9">
        <w:rPr>
          <w:rFonts w:cs="Times New Roman"/>
        </w:rPr>
        <w:t>организаций</w:t>
      </w:r>
      <w:r w:rsidR="00141F83" w:rsidRPr="00EC2FF9">
        <w:rPr>
          <w:rFonts w:cs="Times New Roman"/>
        </w:rPr>
        <w:t>, оценки прозрачности структуры собственности кредитных организаций</w:t>
      </w:r>
      <w:r w:rsidR="009476D5" w:rsidRPr="00EC2FF9">
        <w:rPr>
          <w:rFonts w:cs="Times New Roman"/>
        </w:rPr>
        <w:t>, регулирования и надзора за деятельностью кредитных организаций</w:t>
      </w:r>
      <w:r w:rsidR="00FF3D22" w:rsidRPr="00EC2FF9">
        <w:rPr>
          <w:rFonts w:cs="Times New Roman"/>
        </w:rPr>
        <w:t>.</w:t>
      </w:r>
      <w:proofErr w:type="gramEnd"/>
    </w:p>
    <w:p w14:paraId="3417E960" w14:textId="77777777" w:rsidR="00A56232" w:rsidRPr="00EC2FF9" w:rsidRDefault="006230B1" w:rsidP="00EC2FF9">
      <w:pPr>
        <w:spacing w:before="240" w:line="276" w:lineRule="auto"/>
        <w:jc w:val="both"/>
        <w:rPr>
          <w:rFonts w:cs="Times New Roman"/>
          <w:szCs w:val="28"/>
        </w:rPr>
      </w:pPr>
      <w:proofErr w:type="gramStart"/>
      <w:r w:rsidRPr="00EC2FF9">
        <w:rPr>
          <w:rFonts w:cs="Times New Roman"/>
        </w:rPr>
        <w:t xml:space="preserve">В законодательстве Российской Федерации </w:t>
      </w:r>
      <w:r w:rsidRPr="00EC2FF9">
        <w:rPr>
          <w:rFonts w:cs="Times New Roman"/>
          <w:szCs w:val="28"/>
        </w:rPr>
        <w:t>в целях оценки соответствия установленным требованиям организаций</w:t>
      </w:r>
      <w:r w:rsidRPr="00EC2FF9">
        <w:rPr>
          <w:rStyle w:val="a7"/>
          <w:rFonts w:cs="Times New Roman"/>
          <w:szCs w:val="28"/>
        </w:rPr>
        <w:footnoteReference w:id="1"/>
      </w:r>
      <w:r w:rsidRPr="00EC2FF9">
        <w:rPr>
          <w:rFonts w:cs="Times New Roman"/>
          <w:szCs w:val="28"/>
        </w:rPr>
        <w:t>, осуществляющих деятельность на финансовом рынке, используется</w:t>
      </w:r>
      <w:r w:rsidR="002369A8" w:rsidRPr="00EC2FF9">
        <w:rPr>
          <w:rFonts w:cs="Times New Roman"/>
        </w:rPr>
        <w:t xml:space="preserve"> </w:t>
      </w:r>
      <w:r w:rsidR="002369A8" w:rsidRPr="00EC2FF9">
        <w:rPr>
          <w:rFonts w:cs="Times New Roman"/>
          <w:szCs w:val="28"/>
        </w:rPr>
        <w:t>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(далее - офшорные зоны), утверждаемый Минфином России.</w:t>
      </w:r>
      <w:r w:rsidRPr="00EC2FF9">
        <w:rPr>
          <w:rFonts w:cs="Times New Roman"/>
          <w:szCs w:val="28"/>
        </w:rPr>
        <w:t xml:space="preserve"> </w:t>
      </w:r>
      <w:proofErr w:type="gramEnd"/>
    </w:p>
    <w:p w14:paraId="1460E5B0" w14:textId="77777777" w:rsidR="00FF3D22" w:rsidRPr="00EC2FF9" w:rsidRDefault="006230B1" w:rsidP="00EC2FF9">
      <w:pPr>
        <w:spacing w:before="240" w:line="276" w:lineRule="auto"/>
        <w:jc w:val="both"/>
        <w:rPr>
          <w:rFonts w:cs="Times New Roman"/>
        </w:rPr>
      </w:pPr>
      <w:r w:rsidRPr="00EC2FF9">
        <w:rPr>
          <w:rFonts w:eastAsia="Times New Roman" w:cs="Times New Roman"/>
        </w:rPr>
        <w:t>Перечень офшорных зон, утверждаемый Минфином России, обусловлен его применением исключительно в целях определения порядка налогообложения, в то время как ограничение законодательства в отношении круга стран, из которых могут быть лица, распоряжающиеся акциями (долями), составляющими уставный капитал финансовых организаций, нацелено на обеспечение прозрачности структур собственности финансовых организаций.</w:t>
      </w:r>
    </w:p>
    <w:p w14:paraId="6458544C" w14:textId="77777777" w:rsidR="004E4CBA" w:rsidRPr="00EC2FF9" w:rsidRDefault="006230B1" w:rsidP="00EC2FF9">
      <w:pPr>
        <w:spacing w:before="240" w:line="276" w:lineRule="auto"/>
        <w:jc w:val="both"/>
        <w:rPr>
          <w:rFonts w:cs="Times New Roman"/>
        </w:rPr>
      </w:pPr>
      <w:r w:rsidRPr="00EC2FF9">
        <w:rPr>
          <w:rFonts w:cs="Times New Roman"/>
          <w:szCs w:val="28"/>
        </w:rPr>
        <w:t xml:space="preserve">Приказом Минфина России от 05.06.2023 № 86н «Об утверждении Перечня государств и территорий, предоставляющих льготный налоговый режим налогообложения и (или) не предусматривающих раскрытия и </w:t>
      </w:r>
      <w:r w:rsidRPr="00EC2FF9">
        <w:rPr>
          <w:rFonts w:cs="Times New Roman"/>
          <w:szCs w:val="28"/>
        </w:rPr>
        <w:lastRenderedPageBreak/>
        <w:t>предоставления информации при проведении финансовых операций (офшорные зоны)»</w:t>
      </w:r>
      <w:r w:rsidR="00E12F7D" w:rsidRPr="00EC2FF9">
        <w:rPr>
          <w:rFonts w:cs="Times New Roman"/>
          <w:szCs w:val="28"/>
        </w:rPr>
        <w:t xml:space="preserve">, </w:t>
      </w:r>
      <w:r w:rsidRPr="00EC2FF9">
        <w:rPr>
          <w:rFonts w:cs="Times New Roman"/>
          <w:szCs w:val="28"/>
        </w:rPr>
        <w:t xml:space="preserve">значительно </w:t>
      </w:r>
      <w:r w:rsidR="007C291C" w:rsidRPr="00EC2FF9">
        <w:rPr>
          <w:rFonts w:cs="Times New Roman"/>
          <w:szCs w:val="28"/>
        </w:rPr>
        <w:t>расширен</w:t>
      </w:r>
      <w:r w:rsidRPr="00EC2FF9">
        <w:rPr>
          <w:rFonts w:cs="Times New Roman"/>
          <w:szCs w:val="28"/>
        </w:rPr>
        <w:t xml:space="preserve"> перечень офшорных зон по </w:t>
      </w:r>
      <w:r w:rsidR="00C35C4C" w:rsidRPr="00EC2FF9">
        <w:rPr>
          <w:rFonts w:cs="Times New Roman"/>
          <w:szCs w:val="28"/>
        </w:rPr>
        <w:t>сравнению с ранее установленным</w:t>
      </w:r>
      <w:r w:rsidR="00802228" w:rsidRPr="00EC2FF9">
        <w:rPr>
          <w:rFonts w:cs="Times New Roman"/>
          <w:szCs w:val="28"/>
        </w:rPr>
        <w:t xml:space="preserve"> аналогичным </w:t>
      </w:r>
      <w:r w:rsidR="00184997" w:rsidRPr="00EC2FF9">
        <w:rPr>
          <w:rFonts w:cs="Times New Roman"/>
          <w:szCs w:val="28"/>
        </w:rPr>
        <w:t>п</w:t>
      </w:r>
      <w:r w:rsidRPr="00EC2FF9">
        <w:rPr>
          <w:rFonts w:cs="Times New Roman"/>
          <w:szCs w:val="28"/>
        </w:rPr>
        <w:t>риказ</w:t>
      </w:r>
      <w:r w:rsidR="00C35C4C" w:rsidRPr="00EC2FF9">
        <w:rPr>
          <w:rFonts w:cs="Times New Roman"/>
          <w:szCs w:val="28"/>
        </w:rPr>
        <w:t>ом</w:t>
      </w:r>
      <w:r w:rsidRPr="00EC2FF9">
        <w:rPr>
          <w:rFonts w:cs="Times New Roman"/>
          <w:szCs w:val="28"/>
        </w:rPr>
        <w:t xml:space="preserve"> Минфина </w:t>
      </w:r>
      <w:r w:rsidR="00802228" w:rsidRPr="00EC2FF9">
        <w:rPr>
          <w:rFonts w:cs="Times New Roman"/>
          <w:szCs w:val="28"/>
        </w:rPr>
        <w:br/>
      </w:r>
      <w:r w:rsidRPr="00EC2FF9">
        <w:rPr>
          <w:rFonts w:cs="Times New Roman"/>
          <w:szCs w:val="28"/>
        </w:rPr>
        <w:t>России № 108н.</w:t>
      </w:r>
    </w:p>
    <w:p w14:paraId="2BA6CCC4" w14:textId="77777777" w:rsidR="00D3782D" w:rsidRPr="00EC2FF9" w:rsidRDefault="006230B1" w:rsidP="00EC2FF9">
      <w:pPr>
        <w:spacing w:before="240" w:line="276" w:lineRule="auto"/>
        <w:jc w:val="both"/>
        <w:rPr>
          <w:rFonts w:cs="Times New Roman"/>
          <w:szCs w:val="28"/>
        </w:rPr>
      </w:pPr>
      <w:r w:rsidRPr="00EC2FF9">
        <w:rPr>
          <w:rFonts w:cs="Times New Roman"/>
          <w:szCs w:val="28"/>
        </w:rPr>
        <w:t>Новый перечень офшорных зон издан Минфином России на основании подпункта 1 пункта 3 статьи 284 Налогового кодекса Российской Федерации</w:t>
      </w:r>
      <w:r w:rsidR="00AA2957" w:rsidRPr="00EC2FF9">
        <w:rPr>
          <w:rFonts w:cs="Times New Roman"/>
          <w:szCs w:val="28"/>
        </w:rPr>
        <w:t>, устанавливающе</w:t>
      </w:r>
      <w:r w:rsidR="006B79B8" w:rsidRPr="00EC2FF9">
        <w:rPr>
          <w:rFonts w:cs="Times New Roman"/>
          <w:szCs w:val="28"/>
        </w:rPr>
        <w:t>го</w:t>
      </w:r>
      <w:r w:rsidR="00AA2957" w:rsidRPr="00EC2FF9">
        <w:rPr>
          <w:rFonts w:cs="Times New Roman"/>
          <w:szCs w:val="28"/>
        </w:rPr>
        <w:t xml:space="preserve"> порядок</w:t>
      </w:r>
      <w:r w:rsidR="000C0186" w:rsidRPr="00EC2FF9">
        <w:rPr>
          <w:rFonts w:cs="Times New Roman"/>
          <w:szCs w:val="28"/>
        </w:rPr>
        <w:t xml:space="preserve"> определения налоговых ставок.</w:t>
      </w:r>
    </w:p>
    <w:p w14:paraId="390A36EC" w14:textId="77777777" w:rsidR="00B26B6D" w:rsidRPr="00EC2FF9" w:rsidRDefault="006230B1" w:rsidP="00EC2FF9">
      <w:pPr>
        <w:widowControl w:val="0"/>
        <w:autoSpaceDE w:val="0"/>
        <w:autoSpaceDN w:val="0"/>
        <w:adjustRightInd w:val="0"/>
        <w:spacing w:before="240" w:line="276" w:lineRule="auto"/>
        <w:jc w:val="both"/>
        <w:rPr>
          <w:rFonts w:cs="Times New Roman"/>
          <w:szCs w:val="28"/>
        </w:rPr>
      </w:pPr>
      <w:r w:rsidRPr="00EC2FF9">
        <w:rPr>
          <w:rFonts w:cs="Times New Roman"/>
        </w:rPr>
        <w:t>Расширение</w:t>
      </w:r>
      <w:r w:rsidRPr="00EC2FF9">
        <w:rPr>
          <w:rFonts w:cs="Times New Roman"/>
          <w:szCs w:val="28"/>
        </w:rPr>
        <w:t xml:space="preserve"> перечня офшорных зон привело к тому, что значительно</w:t>
      </w:r>
      <w:r w:rsidR="00652100" w:rsidRPr="00EC2FF9">
        <w:rPr>
          <w:rFonts w:cs="Times New Roman"/>
          <w:szCs w:val="28"/>
        </w:rPr>
        <w:t>е</w:t>
      </w:r>
      <w:r w:rsidRPr="00EC2FF9">
        <w:rPr>
          <w:rFonts w:cs="Times New Roman"/>
          <w:szCs w:val="28"/>
        </w:rPr>
        <w:t xml:space="preserve"> количеств</w:t>
      </w:r>
      <w:r w:rsidR="00652100" w:rsidRPr="00EC2FF9">
        <w:rPr>
          <w:rFonts w:cs="Times New Roman"/>
          <w:szCs w:val="28"/>
        </w:rPr>
        <w:t>о</w:t>
      </w:r>
      <w:r w:rsidRPr="00EC2FF9">
        <w:rPr>
          <w:rFonts w:cs="Times New Roman"/>
          <w:szCs w:val="28"/>
        </w:rPr>
        <w:t xml:space="preserve"> </w:t>
      </w:r>
      <w:proofErr w:type="spellStart"/>
      <w:r w:rsidR="00361849" w:rsidRPr="00EC2FF9">
        <w:rPr>
          <w:rFonts w:cs="Times New Roman"/>
          <w:szCs w:val="28"/>
        </w:rPr>
        <w:t>некредитных</w:t>
      </w:r>
      <w:proofErr w:type="spellEnd"/>
      <w:r w:rsidR="00361849" w:rsidRPr="00EC2FF9">
        <w:rPr>
          <w:rFonts w:cs="Times New Roman"/>
          <w:szCs w:val="28"/>
        </w:rPr>
        <w:t xml:space="preserve"> финансовых </w:t>
      </w:r>
      <w:r w:rsidRPr="00EC2FF9">
        <w:rPr>
          <w:rFonts w:cs="Times New Roman"/>
          <w:szCs w:val="28"/>
        </w:rPr>
        <w:t>организаций стал</w:t>
      </w:r>
      <w:r w:rsidR="00652100" w:rsidRPr="00EC2FF9">
        <w:rPr>
          <w:rFonts w:cs="Times New Roman"/>
          <w:szCs w:val="28"/>
        </w:rPr>
        <w:t>о</w:t>
      </w:r>
      <w:r w:rsidRPr="00EC2FF9">
        <w:rPr>
          <w:rFonts w:cs="Times New Roman"/>
          <w:szCs w:val="28"/>
        </w:rPr>
        <w:t xml:space="preserve"> рассма</w:t>
      </w:r>
      <w:r w:rsidR="00ED7227" w:rsidRPr="00EC2FF9">
        <w:rPr>
          <w:rFonts w:cs="Times New Roman"/>
          <w:szCs w:val="28"/>
        </w:rPr>
        <w:t>триваться как не соответствующие</w:t>
      </w:r>
      <w:r w:rsidRPr="00EC2FF9">
        <w:rPr>
          <w:rFonts w:cs="Times New Roman"/>
          <w:szCs w:val="28"/>
        </w:rPr>
        <w:t xml:space="preserve"> требованиям законодательства Российской Федерации</w:t>
      </w:r>
      <w:r w:rsidR="00652100" w:rsidRPr="00EC2FF9">
        <w:rPr>
          <w:rFonts w:cs="Times New Roman"/>
          <w:szCs w:val="28"/>
        </w:rPr>
        <w:t>, что</w:t>
      </w:r>
      <w:r w:rsidRPr="00EC2FF9">
        <w:rPr>
          <w:rFonts w:cs="Times New Roman"/>
          <w:szCs w:val="28"/>
        </w:rPr>
        <w:t xml:space="preserve"> могло негативно повлиять на устойчивость финансового рынка в целом. </w:t>
      </w:r>
    </w:p>
    <w:p w14:paraId="57E9CCA8" w14:textId="77777777" w:rsidR="008B026A" w:rsidRPr="00EC2FF9" w:rsidRDefault="006230B1" w:rsidP="00EC2FF9">
      <w:pPr>
        <w:spacing w:before="240" w:line="276" w:lineRule="auto"/>
        <w:ind w:right="-1"/>
        <w:jc w:val="both"/>
        <w:rPr>
          <w:rFonts w:cs="Times New Roman"/>
          <w:szCs w:val="28"/>
        </w:rPr>
      </w:pPr>
      <w:r w:rsidRPr="00EC2FF9">
        <w:rPr>
          <w:rFonts w:cs="Times New Roman"/>
          <w:szCs w:val="28"/>
        </w:rPr>
        <w:t xml:space="preserve">В целях обеспечения стабильности на финансовом рынке Советом директоров Банка России на основании полномочий, временно предоставленных Банку России </w:t>
      </w:r>
      <w:r w:rsidR="00070E07" w:rsidRPr="00EC2FF9">
        <w:rPr>
          <w:rFonts w:cs="Times New Roman"/>
        </w:rPr>
        <w:t xml:space="preserve">Федеральным законом от 08.03.2022 № 46-ФЗ «О внесении изменений в отдельные законодательные акты Российской Федерации», </w:t>
      </w:r>
      <w:r w:rsidRPr="00EC2FF9">
        <w:rPr>
          <w:rFonts w:cs="Times New Roman"/>
          <w:szCs w:val="28"/>
        </w:rPr>
        <w:t xml:space="preserve">15.09.2023 принято решение </w:t>
      </w:r>
      <w:r w:rsidR="003A1CAB" w:rsidRPr="00EC2FF9">
        <w:rPr>
          <w:rFonts w:cs="Times New Roman"/>
          <w:szCs w:val="28"/>
        </w:rPr>
        <w:t xml:space="preserve">на период до 31.12.2023 </w:t>
      </w:r>
      <w:r w:rsidRPr="00EC2FF9">
        <w:rPr>
          <w:rFonts w:cs="Times New Roman"/>
          <w:szCs w:val="28"/>
        </w:rPr>
        <w:t>для целей применения положений профильных федеральных законов при оценке лиц, имеющих право прямо или косвенно распоряжаться акциями (долями) финансовых организаций, применять перечень офшорных зон, утвержденный решением Совета директоров Банка России.</w:t>
      </w:r>
      <w:r w:rsidR="003C1622" w:rsidRPr="00EC2FF9">
        <w:rPr>
          <w:rFonts w:cs="Times New Roman"/>
          <w:szCs w:val="28"/>
        </w:rPr>
        <w:t xml:space="preserve"> У</w:t>
      </w:r>
      <w:r w:rsidRPr="00EC2FF9">
        <w:rPr>
          <w:rFonts w:cs="Times New Roman"/>
          <w:szCs w:val="28"/>
        </w:rPr>
        <w:t>казанные меры продлены решени</w:t>
      </w:r>
      <w:r w:rsidR="006B097B" w:rsidRPr="00EC2FF9">
        <w:rPr>
          <w:rFonts w:cs="Times New Roman"/>
          <w:szCs w:val="28"/>
        </w:rPr>
        <w:t>ями</w:t>
      </w:r>
      <w:r w:rsidRPr="00EC2FF9">
        <w:rPr>
          <w:rFonts w:cs="Times New Roman"/>
          <w:szCs w:val="28"/>
        </w:rPr>
        <w:t xml:space="preserve"> Совета директоров Банка России от 22.12.2023 </w:t>
      </w:r>
      <w:r w:rsidR="00500A8B" w:rsidRPr="00EC2FF9">
        <w:rPr>
          <w:rFonts w:cs="Times New Roman"/>
          <w:szCs w:val="28"/>
        </w:rPr>
        <w:t>на период до 31.12.2024, 24.12.2024 на 2025 год</w:t>
      </w:r>
      <w:r w:rsidR="006B097B" w:rsidRPr="00EC2FF9">
        <w:rPr>
          <w:rFonts w:cs="Times New Roman"/>
          <w:szCs w:val="28"/>
        </w:rPr>
        <w:t>, 19.12.2025 на 2026 год</w:t>
      </w:r>
      <w:r w:rsidR="00500A8B" w:rsidRPr="00EC2FF9">
        <w:rPr>
          <w:rFonts w:cs="Times New Roman"/>
          <w:szCs w:val="28"/>
        </w:rPr>
        <w:t>.</w:t>
      </w:r>
    </w:p>
    <w:p w14:paraId="3F5D2977" w14:textId="77777777" w:rsidR="003C14FC" w:rsidRPr="00EC2FF9" w:rsidRDefault="006230B1" w:rsidP="00EC2FF9">
      <w:pPr>
        <w:spacing w:before="240" w:line="276" w:lineRule="auto"/>
        <w:jc w:val="both"/>
        <w:rPr>
          <w:rFonts w:cs="Times New Roman"/>
          <w:szCs w:val="28"/>
        </w:rPr>
      </w:pPr>
      <w:proofErr w:type="gramStart"/>
      <w:r w:rsidRPr="00EC2FF9">
        <w:rPr>
          <w:rFonts w:cs="Times New Roman"/>
        </w:rPr>
        <w:t xml:space="preserve">Законопроект закрепляет на постоянной основе за Банком России полномочия по установлению перечня </w:t>
      </w:r>
      <w:r w:rsidR="00021C6F" w:rsidRPr="00EC2FF9">
        <w:rPr>
          <w:rFonts w:cs="Times New Roman"/>
        </w:rPr>
        <w:t>государств</w:t>
      </w:r>
      <w:r w:rsidRPr="00EC2FF9">
        <w:rPr>
          <w:rFonts w:cs="Times New Roman"/>
        </w:rPr>
        <w:t xml:space="preserve"> и территорий</w:t>
      </w:r>
      <w:r w:rsidR="00021C6F" w:rsidRPr="00EC2FF9">
        <w:rPr>
          <w:rFonts w:cs="Times New Roman"/>
        </w:rPr>
        <w:t xml:space="preserve">, </w:t>
      </w:r>
      <w:r w:rsidR="003B3A9B" w:rsidRPr="00EC2FF9">
        <w:rPr>
          <w:rFonts w:cs="Times New Roman"/>
        </w:rPr>
        <w:t xml:space="preserve">в </w:t>
      </w:r>
      <w:r w:rsidR="00021C6F" w:rsidRPr="00EC2FF9">
        <w:rPr>
          <w:rFonts w:cs="Times New Roman"/>
        </w:rPr>
        <w:t xml:space="preserve">которых не могут </w:t>
      </w:r>
      <w:r w:rsidR="003B3A9B" w:rsidRPr="00EC2FF9">
        <w:rPr>
          <w:rFonts w:cs="Times New Roman"/>
        </w:rPr>
        <w:t xml:space="preserve">быть зарегистрированы лица, </w:t>
      </w:r>
      <w:r w:rsidR="00021C6F" w:rsidRPr="00EC2FF9">
        <w:rPr>
          <w:rFonts w:cs="Times New Roman"/>
        </w:rPr>
        <w:t>име</w:t>
      </w:r>
      <w:r w:rsidR="003B3A9B" w:rsidRPr="00EC2FF9">
        <w:rPr>
          <w:rFonts w:cs="Times New Roman"/>
        </w:rPr>
        <w:t>ющие</w:t>
      </w:r>
      <w:r w:rsidR="00021C6F" w:rsidRPr="00EC2FF9">
        <w:rPr>
          <w:rFonts w:cs="Times New Roman"/>
        </w:rPr>
        <w:t xml:space="preserve"> </w:t>
      </w:r>
      <w:r w:rsidR="00141F83" w:rsidRPr="00EC2FF9">
        <w:rPr>
          <w:rFonts w:cs="Times New Roman"/>
          <w:szCs w:val="28"/>
        </w:rPr>
        <w:t xml:space="preserve">право прямо или косвенно </w:t>
      </w:r>
      <w:r w:rsidR="00021C6F" w:rsidRPr="00EC2FF9">
        <w:rPr>
          <w:rFonts w:cs="Times New Roman"/>
          <w:szCs w:val="28"/>
        </w:rPr>
        <w:t>распоряжаться акциями (долями) организаций, осуществляющих деятельность на финанс</w:t>
      </w:r>
      <w:r w:rsidR="00141F83" w:rsidRPr="00EC2FF9">
        <w:rPr>
          <w:rFonts w:cs="Times New Roman"/>
          <w:szCs w:val="28"/>
        </w:rPr>
        <w:t>овом рынке Российской Федерации</w:t>
      </w:r>
      <w:r w:rsidR="009764A6" w:rsidRPr="00EC2FF9">
        <w:rPr>
          <w:rFonts w:cs="Times New Roman"/>
          <w:szCs w:val="28"/>
        </w:rPr>
        <w:t>, а также применяемый в целях оценки прозрачности структуры собственности кредитных организаций, определения порядка установления кредитными организациями корреспондентских отношений с иностранными банками, расположенными</w:t>
      </w:r>
      <w:proofErr w:type="gramEnd"/>
      <w:r w:rsidR="009764A6" w:rsidRPr="00EC2FF9">
        <w:rPr>
          <w:rFonts w:cs="Times New Roman"/>
          <w:szCs w:val="28"/>
        </w:rPr>
        <w:t xml:space="preserve"> за пределами территории Российской Федерации, и порядка формирования и размера образуемых до налогообложения резервов (фондов) кредитных организаций для покрытия возможных потерь</w:t>
      </w:r>
      <w:r w:rsidR="00DD4E53" w:rsidRPr="00EC2FF9">
        <w:rPr>
          <w:rFonts w:cs="Times New Roman"/>
          <w:szCs w:val="28"/>
        </w:rPr>
        <w:t>.</w:t>
      </w:r>
      <w:r w:rsidR="005F3F77" w:rsidRPr="00EC2FF9">
        <w:rPr>
          <w:rFonts w:cs="Times New Roman"/>
          <w:szCs w:val="28"/>
        </w:rPr>
        <w:t xml:space="preserve"> </w:t>
      </w:r>
    </w:p>
    <w:p w14:paraId="740C8B4D" w14:textId="77777777" w:rsidR="00C63987" w:rsidRPr="00EC2FF9" w:rsidRDefault="00184997" w:rsidP="00EC2FF9">
      <w:pPr>
        <w:spacing w:before="240" w:line="276" w:lineRule="auto"/>
        <w:jc w:val="both"/>
        <w:rPr>
          <w:rFonts w:cs="Times New Roman"/>
          <w:szCs w:val="28"/>
        </w:rPr>
      </w:pPr>
      <w:r w:rsidRPr="00EC2FF9">
        <w:rPr>
          <w:rFonts w:cs="Times New Roman"/>
          <w:szCs w:val="28"/>
        </w:rPr>
        <w:t xml:space="preserve">Банк России при определении указанного перечня направляет в порядке информирования не менее чем за 15 календарных дней до даты его </w:t>
      </w:r>
      <w:r w:rsidRPr="00EC2FF9">
        <w:rPr>
          <w:rFonts w:cs="Times New Roman"/>
          <w:szCs w:val="28"/>
        </w:rPr>
        <w:lastRenderedPageBreak/>
        <w:t xml:space="preserve">утверждения </w:t>
      </w:r>
      <w:r w:rsidR="00500A8B" w:rsidRPr="00EC2FF9">
        <w:rPr>
          <w:rFonts w:cs="Times New Roman"/>
          <w:szCs w:val="28"/>
        </w:rPr>
        <w:t>в Минфин России</w:t>
      </w:r>
      <w:r w:rsidR="00500A8B" w:rsidRPr="00EC2FF9">
        <w:rPr>
          <w:rFonts w:cs="Times New Roman"/>
        </w:rPr>
        <w:t xml:space="preserve"> </w:t>
      </w:r>
      <w:r w:rsidR="00500A8B" w:rsidRPr="00EC2FF9">
        <w:rPr>
          <w:rFonts w:cs="Times New Roman"/>
          <w:szCs w:val="28"/>
        </w:rPr>
        <w:t>проект изменений, вносимых в перечень, а при первичном утверждении перечня – проект перечня</w:t>
      </w:r>
      <w:r w:rsidR="005F3F77" w:rsidRPr="00EC2FF9">
        <w:rPr>
          <w:rFonts w:cs="Times New Roman"/>
          <w:szCs w:val="28"/>
        </w:rPr>
        <w:t>.</w:t>
      </w:r>
    </w:p>
    <w:p w14:paraId="2048F758" w14:textId="77777777" w:rsidR="00887E37" w:rsidRPr="00EC2FF9" w:rsidRDefault="006230B1" w:rsidP="00EC2FF9">
      <w:pPr>
        <w:spacing w:before="240" w:line="276" w:lineRule="auto"/>
        <w:jc w:val="both"/>
        <w:rPr>
          <w:rFonts w:cs="Times New Roman"/>
        </w:rPr>
      </w:pPr>
      <w:r w:rsidRPr="00EC2FF9">
        <w:rPr>
          <w:rFonts w:cs="Times New Roman"/>
        </w:rPr>
        <w:t>Законопроект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sectPr w:rsidR="00887E37" w:rsidRPr="00EC2FF9" w:rsidSect="00EC2FF9">
      <w:headerReference w:type="default" r:id="rId8"/>
      <w:footerReference w:type="first" r:id="rId9"/>
      <w:pgSz w:w="11906" w:h="16838"/>
      <w:pgMar w:top="1418" w:right="991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1B496" w14:textId="77777777" w:rsidR="003C5997" w:rsidRDefault="003C5997">
      <w:pPr>
        <w:spacing w:line="240" w:lineRule="auto"/>
      </w:pPr>
      <w:r>
        <w:separator/>
      </w:r>
    </w:p>
  </w:endnote>
  <w:endnote w:type="continuationSeparator" w:id="0">
    <w:p w14:paraId="273ED78D" w14:textId="77777777" w:rsidR="003C5997" w:rsidRDefault="003C5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8CC9C" w14:textId="77777777" w:rsidR="00657385" w:rsidRDefault="00657385">
    <w:pPr>
      <w:ind w:right="1740"/>
      <w:rPr>
        <w:rFonts w:eastAsia="Times New Roman" w:cs="Times New Roman"/>
        <w:color w:val="D9D9D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DC35D" w14:textId="77777777" w:rsidR="003C5997" w:rsidRDefault="003C5997" w:rsidP="00A27DE0">
      <w:pPr>
        <w:spacing w:line="240" w:lineRule="auto"/>
      </w:pPr>
      <w:r>
        <w:separator/>
      </w:r>
    </w:p>
  </w:footnote>
  <w:footnote w:type="continuationSeparator" w:id="0">
    <w:p w14:paraId="235B3244" w14:textId="77777777" w:rsidR="003C5997" w:rsidRDefault="003C5997" w:rsidP="00A27DE0">
      <w:pPr>
        <w:spacing w:line="240" w:lineRule="auto"/>
      </w:pPr>
      <w:r>
        <w:continuationSeparator/>
      </w:r>
    </w:p>
  </w:footnote>
  <w:footnote w:id="1">
    <w:p w14:paraId="67ED8489" w14:textId="77777777" w:rsidR="00A56232" w:rsidRPr="00EC2FF9" w:rsidRDefault="006230B1" w:rsidP="00FF3D22">
      <w:pPr>
        <w:pStyle w:val="a8"/>
        <w:ind w:firstLine="0"/>
        <w:jc w:val="both"/>
        <w:rPr>
          <w:sz w:val="22"/>
          <w:szCs w:val="22"/>
        </w:rPr>
      </w:pPr>
      <w:r w:rsidRPr="00EC2FF9">
        <w:rPr>
          <w:rStyle w:val="a7"/>
          <w:sz w:val="22"/>
          <w:szCs w:val="22"/>
        </w:rPr>
        <w:footnoteRef/>
      </w:r>
      <w:r w:rsidRPr="00EC2FF9">
        <w:rPr>
          <w:sz w:val="22"/>
          <w:szCs w:val="22"/>
        </w:rPr>
        <w:t xml:space="preserve"> Страховые организации, филиалы иностранных страховых организаций, негосударственные пенсионные фонды, управляющие компании инвестиционных фондов, паевых инвестиционных фондов и негосударственных пенсионных фондов, </w:t>
      </w:r>
      <w:proofErr w:type="spellStart"/>
      <w:r w:rsidRPr="00EC2FF9">
        <w:rPr>
          <w:sz w:val="22"/>
          <w:szCs w:val="22"/>
        </w:rPr>
        <w:t>микрофинансовые</w:t>
      </w:r>
      <w:proofErr w:type="spellEnd"/>
      <w:r w:rsidRPr="00EC2FF9">
        <w:rPr>
          <w:sz w:val="22"/>
          <w:szCs w:val="22"/>
        </w:rPr>
        <w:t xml:space="preserve"> организации, </w:t>
      </w:r>
      <w:proofErr w:type="spellStart"/>
      <w:r w:rsidRPr="00EC2FF9">
        <w:rPr>
          <w:sz w:val="22"/>
          <w:szCs w:val="22"/>
        </w:rPr>
        <w:t>форекс</w:t>
      </w:r>
      <w:proofErr w:type="spellEnd"/>
      <w:r w:rsidRPr="00EC2FF9">
        <w:rPr>
          <w:sz w:val="22"/>
          <w:szCs w:val="22"/>
        </w:rPr>
        <w:t>-дилеры, клиринговые организации, организаторы торговли, операторы инвестиционной платформы, операторы финансовой платформы, операторы обмена цифровых финансовых активов, специализированные общества, управляющие компании специализированного общества, операторы по приему платежей.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623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A4ED5A" w14:textId="77777777" w:rsidR="00A27DE0" w:rsidRPr="00EC2FF9" w:rsidRDefault="006230B1" w:rsidP="00EC2FF9">
        <w:pPr>
          <w:pStyle w:val="a3"/>
          <w:ind w:firstLine="0"/>
          <w:jc w:val="center"/>
          <w:rPr>
            <w:sz w:val="24"/>
            <w:szCs w:val="24"/>
          </w:rPr>
        </w:pPr>
        <w:r w:rsidRPr="00EC2FF9">
          <w:rPr>
            <w:sz w:val="24"/>
            <w:szCs w:val="24"/>
          </w:rPr>
          <w:fldChar w:fldCharType="begin"/>
        </w:r>
        <w:r w:rsidRPr="00EC2FF9">
          <w:rPr>
            <w:sz w:val="24"/>
            <w:szCs w:val="24"/>
          </w:rPr>
          <w:instrText>PAGE   \* MERGEFORMAT</w:instrText>
        </w:r>
        <w:r w:rsidRPr="00EC2FF9">
          <w:rPr>
            <w:sz w:val="24"/>
            <w:szCs w:val="24"/>
          </w:rPr>
          <w:fldChar w:fldCharType="separate"/>
        </w:r>
        <w:r w:rsidR="00EC2FF9">
          <w:rPr>
            <w:noProof/>
            <w:sz w:val="24"/>
            <w:szCs w:val="24"/>
          </w:rPr>
          <w:t>3</w:t>
        </w:r>
        <w:r w:rsidRPr="00EC2FF9">
          <w:rPr>
            <w:sz w:val="24"/>
            <w:szCs w:val="24"/>
          </w:rPr>
          <w:fldChar w:fldCharType="end"/>
        </w:r>
      </w:p>
    </w:sdtContent>
  </w:sdt>
  <w:p w14:paraId="43326891" w14:textId="77777777" w:rsidR="00A27DE0" w:rsidRDefault="00A27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E0"/>
    <w:rsid w:val="0001106C"/>
    <w:rsid w:val="00021C6F"/>
    <w:rsid w:val="0004343F"/>
    <w:rsid w:val="00050E0B"/>
    <w:rsid w:val="00070E07"/>
    <w:rsid w:val="00082788"/>
    <w:rsid w:val="000A10EC"/>
    <w:rsid w:val="000B1902"/>
    <w:rsid w:val="000C0186"/>
    <w:rsid w:val="000D0CF1"/>
    <w:rsid w:val="0013179E"/>
    <w:rsid w:val="00132A72"/>
    <w:rsid w:val="00141F83"/>
    <w:rsid w:val="001466A1"/>
    <w:rsid w:val="00147BE5"/>
    <w:rsid w:val="001771BD"/>
    <w:rsid w:val="00184997"/>
    <w:rsid w:val="001B7414"/>
    <w:rsid w:val="001D030B"/>
    <w:rsid w:val="001E7A4B"/>
    <w:rsid w:val="001F4735"/>
    <w:rsid w:val="001F651E"/>
    <w:rsid w:val="002369A8"/>
    <w:rsid w:val="00251485"/>
    <w:rsid w:val="00295F98"/>
    <w:rsid w:val="002B2E9E"/>
    <w:rsid w:val="002F3BC4"/>
    <w:rsid w:val="00361849"/>
    <w:rsid w:val="003A0017"/>
    <w:rsid w:val="003A1CAB"/>
    <w:rsid w:val="003A3B0D"/>
    <w:rsid w:val="003A5036"/>
    <w:rsid w:val="003B3A9B"/>
    <w:rsid w:val="003C14FC"/>
    <w:rsid w:val="003C1622"/>
    <w:rsid w:val="003C5997"/>
    <w:rsid w:val="003E7CDA"/>
    <w:rsid w:val="004023B8"/>
    <w:rsid w:val="004242F5"/>
    <w:rsid w:val="00435940"/>
    <w:rsid w:val="004449FD"/>
    <w:rsid w:val="004C0E8C"/>
    <w:rsid w:val="004C5385"/>
    <w:rsid w:val="004E4CBA"/>
    <w:rsid w:val="00500A8B"/>
    <w:rsid w:val="00534131"/>
    <w:rsid w:val="00555A0F"/>
    <w:rsid w:val="00590024"/>
    <w:rsid w:val="00596063"/>
    <w:rsid w:val="005A6EEE"/>
    <w:rsid w:val="005B54A6"/>
    <w:rsid w:val="005F3F77"/>
    <w:rsid w:val="006230B1"/>
    <w:rsid w:val="006450AE"/>
    <w:rsid w:val="00652100"/>
    <w:rsid w:val="00657385"/>
    <w:rsid w:val="006608B0"/>
    <w:rsid w:val="006B097B"/>
    <w:rsid w:val="006B79B8"/>
    <w:rsid w:val="006C190C"/>
    <w:rsid w:val="006D413F"/>
    <w:rsid w:val="006F0894"/>
    <w:rsid w:val="00705869"/>
    <w:rsid w:val="007179CB"/>
    <w:rsid w:val="00723C5F"/>
    <w:rsid w:val="007620A4"/>
    <w:rsid w:val="00763BD3"/>
    <w:rsid w:val="00763E6D"/>
    <w:rsid w:val="00772831"/>
    <w:rsid w:val="007760A7"/>
    <w:rsid w:val="00781F62"/>
    <w:rsid w:val="007A22CA"/>
    <w:rsid w:val="007C09A3"/>
    <w:rsid w:val="007C291C"/>
    <w:rsid w:val="007D3915"/>
    <w:rsid w:val="00802228"/>
    <w:rsid w:val="008028E9"/>
    <w:rsid w:val="008212E2"/>
    <w:rsid w:val="00834BBB"/>
    <w:rsid w:val="008721E4"/>
    <w:rsid w:val="00887E37"/>
    <w:rsid w:val="008B026A"/>
    <w:rsid w:val="008C37E2"/>
    <w:rsid w:val="008D4CA2"/>
    <w:rsid w:val="008F3386"/>
    <w:rsid w:val="009476D5"/>
    <w:rsid w:val="009764A6"/>
    <w:rsid w:val="00982BB1"/>
    <w:rsid w:val="009B6A61"/>
    <w:rsid w:val="009D3387"/>
    <w:rsid w:val="009F4C32"/>
    <w:rsid w:val="00A10706"/>
    <w:rsid w:val="00A12B4F"/>
    <w:rsid w:val="00A14725"/>
    <w:rsid w:val="00A27DE0"/>
    <w:rsid w:val="00A33DAF"/>
    <w:rsid w:val="00A55B32"/>
    <w:rsid w:val="00A56232"/>
    <w:rsid w:val="00A6017B"/>
    <w:rsid w:val="00A76786"/>
    <w:rsid w:val="00AA2957"/>
    <w:rsid w:val="00AA41F1"/>
    <w:rsid w:val="00AD2AFE"/>
    <w:rsid w:val="00AE1BF1"/>
    <w:rsid w:val="00B265B9"/>
    <w:rsid w:val="00B26B6D"/>
    <w:rsid w:val="00B31143"/>
    <w:rsid w:val="00B3237E"/>
    <w:rsid w:val="00B66252"/>
    <w:rsid w:val="00BA097D"/>
    <w:rsid w:val="00C032DC"/>
    <w:rsid w:val="00C07F4C"/>
    <w:rsid w:val="00C135E0"/>
    <w:rsid w:val="00C35C4C"/>
    <w:rsid w:val="00C366DD"/>
    <w:rsid w:val="00C63987"/>
    <w:rsid w:val="00CA4FFB"/>
    <w:rsid w:val="00CD0777"/>
    <w:rsid w:val="00CF00E4"/>
    <w:rsid w:val="00D04801"/>
    <w:rsid w:val="00D30915"/>
    <w:rsid w:val="00D3782D"/>
    <w:rsid w:val="00D503F4"/>
    <w:rsid w:val="00D7179C"/>
    <w:rsid w:val="00D77BE0"/>
    <w:rsid w:val="00D82277"/>
    <w:rsid w:val="00DC5E23"/>
    <w:rsid w:val="00DD4E53"/>
    <w:rsid w:val="00DD4EA3"/>
    <w:rsid w:val="00DD7831"/>
    <w:rsid w:val="00E051E4"/>
    <w:rsid w:val="00E12198"/>
    <w:rsid w:val="00E12F7D"/>
    <w:rsid w:val="00E25661"/>
    <w:rsid w:val="00E342AF"/>
    <w:rsid w:val="00E3544F"/>
    <w:rsid w:val="00E50DED"/>
    <w:rsid w:val="00E6729B"/>
    <w:rsid w:val="00E83BDF"/>
    <w:rsid w:val="00EA49DA"/>
    <w:rsid w:val="00EC2FF9"/>
    <w:rsid w:val="00EC7895"/>
    <w:rsid w:val="00ED3140"/>
    <w:rsid w:val="00ED6CA9"/>
    <w:rsid w:val="00ED7227"/>
    <w:rsid w:val="00EE3A75"/>
    <w:rsid w:val="00F157F6"/>
    <w:rsid w:val="00F4032B"/>
    <w:rsid w:val="00F879A2"/>
    <w:rsid w:val="00FC2C19"/>
    <w:rsid w:val="00FD1BFF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F5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E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DE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27D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DE0"/>
    <w:rPr>
      <w:rFonts w:ascii="Times New Roman" w:hAnsi="Times New Roman"/>
      <w:sz w:val="28"/>
    </w:rPr>
  </w:style>
  <w:style w:type="character" w:styleId="a7">
    <w:name w:val="footnote reference"/>
    <w:aliases w:val="Ciae niinee-FN,Referencia nota al pie,SUPERS,Used by Word for Help footnote symbols,fr,ftre,ftref,Знак сноски 1,Знак сноски Даша,Знак сноски-FN,Знак сноски1,Текст сноски Знак2 Знак Знак1,ХИА_ЗС,вески,сноска"/>
    <w:basedOn w:val="a0"/>
    <w:uiPriority w:val="99"/>
    <w:unhideWhenUsed/>
    <w:rsid w:val="004E4CB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81F62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81F62"/>
    <w:rPr>
      <w:rFonts w:ascii="Times New Roman" w:hAnsi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79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79B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D1B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B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BFF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B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BFF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F5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E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DE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27D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DE0"/>
    <w:rPr>
      <w:rFonts w:ascii="Times New Roman" w:hAnsi="Times New Roman"/>
      <w:sz w:val="28"/>
    </w:rPr>
  </w:style>
  <w:style w:type="character" w:styleId="a7">
    <w:name w:val="footnote reference"/>
    <w:aliases w:val="Ciae niinee-FN,Referencia nota al pie,SUPERS,Used by Word for Help footnote symbols,fr,ftre,ftref,Знак сноски 1,Знак сноски Даша,Знак сноски-FN,Знак сноски1,Текст сноски Знак2 Знак Знак1,ХИА_ЗС,вески,сноска"/>
    <w:basedOn w:val="a0"/>
    <w:uiPriority w:val="99"/>
    <w:unhideWhenUsed/>
    <w:rsid w:val="004E4CB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81F62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81F62"/>
    <w:rPr>
      <w:rFonts w:ascii="Times New Roman" w:hAnsi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79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79B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D1B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B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BFF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B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BF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BCE37-58EA-4647-9780-B2670612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Светлана Игоревна</dc:creator>
  <cp:lastModifiedBy>ШТОГРИНА Елена Евгеньевна</cp:lastModifiedBy>
  <cp:revision>3</cp:revision>
  <dcterms:created xsi:type="dcterms:W3CDTF">2026-04-01T14:20:00Z</dcterms:created>
  <dcterms:modified xsi:type="dcterms:W3CDTF">2026-04-01T14:43:00Z</dcterms:modified>
</cp:coreProperties>
</file>